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CF" w:rsidRDefault="00E154CF" w:rsidP="00E154CF">
      <w:pPr>
        <w:pStyle w:val="Heading1"/>
        <w:shd w:val="clear" w:color="auto" w:fill="B2CCFF"/>
        <w:spacing w:before="330" w:beforeAutospacing="0" w:after="225" w:afterAutospacing="0"/>
        <w:jc w:val="center"/>
        <w:rPr>
          <w:color w:val="002A80"/>
          <w:sz w:val="34"/>
          <w:szCs w:val="34"/>
        </w:rPr>
      </w:pPr>
      <w:r>
        <w:rPr>
          <w:color w:val="002A80"/>
          <w:sz w:val="34"/>
          <w:szCs w:val="34"/>
        </w:rPr>
        <w:t>El Talmud y sus autores</w:t>
      </w:r>
    </w:p>
    <w:p w:rsidR="00E154CF" w:rsidRDefault="00E154CF" w:rsidP="00E154CF">
      <w:pPr>
        <w:jc w:val="center"/>
        <w:rPr>
          <w:rFonts w:hint="cs"/>
          <w:rtl/>
          <w:lang w:bidi="ar-EG"/>
        </w:rPr>
      </w:pPr>
      <w:r>
        <w:rPr>
          <w:noProof/>
        </w:rPr>
        <w:drawing>
          <wp:inline distT="0" distB="0" distL="0" distR="0">
            <wp:extent cx="2657475" cy="1866900"/>
            <wp:effectExtent l="19050" t="0" r="9525" b="0"/>
            <wp:docPr id="13" name="Picture 15" descr="TalmudandItsAutho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almudandItsAuthors.jpg"/>
                    <pic:cNvPicPr>
                      <a:picLocks noChangeAspect="1" noChangeArrowheads="1"/>
                    </pic:cNvPicPr>
                  </pic:nvPicPr>
                  <pic:blipFill>
                    <a:blip r:embed="rId4" cstate="print"/>
                    <a:srcRect/>
                    <a:stretch>
                      <a:fillRect/>
                    </a:stretch>
                  </pic:blipFill>
                  <pic:spPr bwMode="auto">
                    <a:xfrm>
                      <a:off x="0" y="0"/>
                      <a:ext cx="2657475" cy="1866900"/>
                    </a:xfrm>
                    <a:prstGeom prst="rect">
                      <a:avLst/>
                    </a:prstGeom>
                    <a:noFill/>
                    <a:ln w="9525">
                      <a:noFill/>
                      <a:miter lim="800000"/>
                      <a:headEnd/>
                      <a:tailEnd/>
                    </a:ln>
                  </pic:spPr>
                </pic:pic>
              </a:graphicData>
            </a:graphic>
          </wp:inline>
        </w:drawing>
      </w:r>
    </w:p>
    <w:p w:rsidR="00E154CF" w:rsidRDefault="00E154CF" w:rsidP="00E154CF">
      <w:pPr>
        <w:jc w:val="center"/>
        <w:rPr>
          <w:rFonts w:hint="cs"/>
          <w:rtl/>
          <w:lang w:bidi="ar-EG"/>
        </w:rPr>
      </w:pPr>
    </w:p>
    <w:p w:rsidR="00E154CF" w:rsidRDefault="00E154CF" w:rsidP="00E154CF">
      <w:pPr>
        <w:pStyle w:val="Heading2"/>
        <w:shd w:val="clear" w:color="auto" w:fill="E1F4FD"/>
        <w:bidi w:val="0"/>
        <w:spacing w:before="225" w:after="150"/>
        <w:rPr>
          <w:color w:val="008000"/>
          <w:sz w:val="30"/>
          <w:szCs w:val="30"/>
        </w:rPr>
      </w:pPr>
      <w:r>
        <w:rPr>
          <w:color w:val="008000"/>
          <w:sz w:val="30"/>
          <w:szCs w:val="30"/>
        </w:rPr>
        <w:t>¿Qué es el Talmud?</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El Talmud es el libro básico del judaísmo. La</w:t>
      </w:r>
      <w:r>
        <w:rPr>
          <w:rStyle w:val="apple-converted-space"/>
          <w:color w:val="000000"/>
          <w:sz w:val="26"/>
          <w:szCs w:val="26"/>
        </w:rPr>
        <w:t> </w:t>
      </w:r>
      <w:r>
        <w:rPr>
          <w:i/>
          <w:iCs/>
          <w:color w:val="000000"/>
          <w:sz w:val="26"/>
          <w:szCs w:val="26"/>
        </w:rPr>
        <w:t>Enciclopedia Británica</w:t>
      </w:r>
      <w:r>
        <w:rPr>
          <w:rStyle w:val="apple-converted-space"/>
          <w:color w:val="000000"/>
          <w:sz w:val="26"/>
          <w:szCs w:val="26"/>
        </w:rPr>
        <w:t> </w:t>
      </w:r>
      <w:r>
        <w:rPr>
          <w:color w:val="000000"/>
          <w:sz w:val="26"/>
          <w:szCs w:val="26"/>
        </w:rPr>
        <w:t>declara que el término hebreo “Talmud” se refiere a una compilación de enseñanzas antiguas consideradas sagradas por los judíos desde el momento en que fueron compiladas hasta los tiempos modernos, y todavía son consideradas así por los judíos religiosos</w:t>
      </w:r>
      <w:bookmarkStart w:id="0" w:name="_ftnref15427"/>
      <w:r>
        <w:rPr>
          <w:color w:val="000000"/>
          <w:sz w:val="26"/>
          <w:szCs w:val="26"/>
        </w:rPr>
        <w:fldChar w:fldCharType="begin"/>
      </w:r>
      <w:r>
        <w:rPr>
          <w:color w:val="000000"/>
          <w:sz w:val="26"/>
          <w:szCs w:val="26"/>
        </w:rPr>
        <w:instrText xml:space="preserve"> HYPERLINK "http://www.islamreligion.com/es/articles/332/" \l "_ftn15427" \o " \“Talmud y Midrash\”. Enciclopedia Británica. 2006." </w:instrText>
      </w:r>
      <w:r>
        <w:rPr>
          <w:color w:val="000000"/>
          <w:sz w:val="26"/>
          <w:szCs w:val="26"/>
        </w:rPr>
        <w:fldChar w:fldCharType="separate"/>
      </w:r>
      <w:r>
        <w:rPr>
          <w:rStyle w:val="w-footnote-number"/>
          <w:color w:val="800080"/>
          <w:position w:val="2"/>
          <w:sz w:val="21"/>
          <w:szCs w:val="21"/>
          <w:u w:val="single"/>
        </w:rPr>
        <w:t>[1]</w:t>
      </w:r>
      <w:r>
        <w:rPr>
          <w:color w:val="000000"/>
          <w:sz w:val="26"/>
          <w:szCs w:val="26"/>
        </w:rPr>
        <w:fldChar w:fldCharType="end"/>
      </w:r>
      <w:bookmarkEnd w:id="0"/>
      <w:r>
        <w:rPr>
          <w:color w:val="000000"/>
          <w:sz w:val="26"/>
          <w:szCs w:val="26"/>
          <w:lang w:val="es-CO"/>
        </w:rPr>
        <w:t>. En palabras del Rabino Dr. Jacob Neusner, es el “documento fundacional del judaísmo”</w:t>
      </w:r>
      <w:bookmarkStart w:id="1" w:name="_ftnref15428"/>
      <w:r>
        <w:rPr>
          <w:color w:val="000000"/>
          <w:sz w:val="26"/>
          <w:szCs w:val="26"/>
          <w:lang w:val="es-CO"/>
        </w:rPr>
        <w:fldChar w:fldCharType="begin"/>
      </w:r>
      <w:r>
        <w:rPr>
          <w:color w:val="000000"/>
          <w:sz w:val="26"/>
          <w:szCs w:val="26"/>
          <w:lang w:val="es-CO"/>
        </w:rPr>
        <w:instrText xml:space="preserve"> HYPERLINK "http://www.islamreligion.com/es/articles/332/" \l "_ftn15428" \o " Jacob Neusner, Cómo Trabaja el Talmud (Boston: Brill, 2002) ix." </w:instrText>
      </w:r>
      <w:r>
        <w:rPr>
          <w:color w:val="000000"/>
          <w:sz w:val="26"/>
          <w:szCs w:val="26"/>
          <w:lang w:val="es-CO"/>
        </w:rPr>
        <w:fldChar w:fldCharType="separate"/>
      </w:r>
      <w:r>
        <w:rPr>
          <w:rStyle w:val="w-footnote-number"/>
          <w:color w:val="800080"/>
          <w:position w:val="2"/>
          <w:sz w:val="21"/>
          <w:szCs w:val="21"/>
          <w:u w:val="single"/>
          <w:lang w:val="es-CO"/>
        </w:rPr>
        <w:t>[2]</w:t>
      </w:r>
      <w:r>
        <w:rPr>
          <w:color w:val="000000"/>
          <w:sz w:val="26"/>
          <w:szCs w:val="26"/>
          <w:lang w:val="es-CO"/>
        </w:rPr>
        <w:fldChar w:fldCharType="end"/>
      </w:r>
      <w:bookmarkEnd w:id="1"/>
      <w:r>
        <w:rPr>
          <w:color w:val="000000"/>
          <w:sz w:val="26"/>
          <w:szCs w:val="26"/>
          <w:lang w:val="es-CO"/>
        </w:rPr>
        <w:t>.</w:t>
      </w:r>
    </w:p>
    <w:p w:rsidR="00E154CF" w:rsidRDefault="00E154CF" w:rsidP="00E154CF">
      <w:pPr>
        <w:pStyle w:val="Heading2"/>
        <w:shd w:val="clear" w:color="auto" w:fill="E1F4FD"/>
        <w:bidi w:val="0"/>
        <w:spacing w:before="225" w:after="150"/>
        <w:rPr>
          <w:color w:val="008000"/>
          <w:sz w:val="30"/>
          <w:szCs w:val="30"/>
        </w:rPr>
      </w:pPr>
      <w:r>
        <w:rPr>
          <w:color w:val="008000"/>
          <w:sz w:val="30"/>
          <w:szCs w:val="30"/>
        </w:rPr>
        <w:t>Los Talmud Babilónico y Palestino</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Existen dos versiones del Talmud. La Liga Antidifamación declara:</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“Hay dos ediciones del Talmud, una fue compuesta por los judíos babilonios y otra por los judíos que vivían en la Jerusalén antigua. Generalmente, una cita del Talmud se refiere a la versión babilonia, que es considerada la autorizada. El Talmud de Jerusalén habitualmente no se enseña, ni siquiera en las escuelas judías más ortodoxas de hoy, aunque los eruditos avanzados del Talmud a veces lo estudian”</w:t>
      </w:r>
      <w:bookmarkStart w:id="2" w:name="_ftnref15429"/>
      <w:r>
        <w:rPr>
          <w:color w:val="000000"/>
          <w:sz w:val="26"/>
          <w:szCs w:val="26"/>
        </w:rPr>
        <w:fldChar w:fldCharType="begin"/>
      </w:r>
      <w:r>
        <w:rPr>
          <w:color w:val="000000"/>
          <w:sz w:val="26"/>
          <w:szCs w:val="26"/>
        </w:rPr>
        <w:instrText xml:space="preserve"> HYPERLINK "http://www.islamreligion.com/es/articles/332/" \l "_ftn15429" \o " Liga Antidifamación, El Talmud en las Polémicas Antisemitas, Febrero 2003, (http://www.adl.org/presrele/asus%5F12/the_talmud.pdf)." </w:instrText>
      </w:r>
      <w:r>
        <w:rPr>
          <w:color w:val="000000"/>
          <w:sz w:val="26"/>
          <w:szCs w:val="26"/>
        </w:rPr>
        <w:fldChar w:fldCharType="separate"/>
      </w:r>
      <w:r>
        <w:rPr>
          <w:rStyle w:val="w-footnote-number"/>
          <w:color w:val="800080"/>
          <w:position w:val="2"/>
          <w:sz w:val="26"/>
          <w:szCs w:val="26"/>
          <w:u w:val="single"/>
          <w:lang w:val="es-CO"/>
        </w:rPr>
        <w:t>[3]</w:t>
      </w:r>
      <w:r>
        <w:rPr>
          <w:color w:val="000000"/>
          <w:sz w:val="26"/>
          <w:szCs w:val="26"/>
        </w:rPr>
        <w:fldChar w:fldCharType="end"/>
      </w:r>
      <w:bookmarkEnd w:id="2"/>
      <w:r>
        <w:rPr>
          <w:color w:val="000000"/>
          <w:sz w:val="26"/>
          <w:szCs w:val="26"/>
        </w:rPr>
        <w:t>.</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El Profesor Shanak lo explica aún más:</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“Básicamente, el Talmud consiste de dos partes. La primera, la Mishná: un código legal conciso que consiste en seis volúmenes, cada uno subdividido en varios tratados, escrito en hebreo, redactado en Palestina alrededor del 200 d.C. a partir de material legal mucho más extenso (y principalmente oral) compuesto durante los dos siglos anteriores. La segunda parte, y la más predominante, es la Guemará: un registro voluminoso de las discusiones sobre y alrededor de la Mishná. Hay dos conjuntos de Guemará más o menos paralelos, uno compuesto en Mesopotamia (Babilonia), alrededor del 200 y el 500 d.C., y el otro en Palestina, alrededor del 200 y una fecha desconocida mucho antes del 500 d.C. El Talmud Babilónico (que es la Mishná más el Guemará mesopotámico) es mucho más extenso y mejor organizado que el </w:t>
      </w:r>
      <w:r>
        <w:rPr>
          <w:color w:val="000000"/>
          <w:sz w:val="26"/>
          <w:szCs w:val="26"/>
        </w:rPr>
        <w:lastRenderedPageBreak/>
        <w:t>palestino, y es el único considerado como definitivo y autorizado. El Talmud de Jerusalén (palestino) es un estatuto decididamente inferior como autoridad judicial, junto con un número de compilaciones, conocidas colectivamente como la ‘literatura talmúdica’, que contiene material que los editores de ambos Talmud dejaron fuera”</w:t>
      </w:r>
      <w:bookmarkStart w:id="3" w:name="_ftnref15430"/>
      <w:r>
        <w:rPr>
          <w:color w:val="000000"/>
          <w:sz w:val="26"/>
          <w:szCs w:val="26"/>
        </w:rPr>
        <w:fldChar w:fldCharType="begin"/>
      </w:r>
      <w:r>
        <w:rPr>
          <w:color w:val="000000"/>
          <w:sz w:val="26"/>
          <w:szCs w:val="26"/>
        </w:rPr>
        <w:instrText xml:space="preserve"> HYPERLINK "http://www.islamreligion.com/es/articles/332/" \l "_ftn15430" \o " Profesor Israel Shahak, Historia Judía, Religión Judía: El Peso de Tres Mil Años (Boulder: Pluto Press, 1994). Cap. 3." </w:instrText>
      </w:r>
      <w:r>
        <w:rPr>
          <w:color w:val="000000"/>
          <w:sz w:val="26"/>
          <w:szCs w:val="26"/>
        </w:rPr>
        <w:fldChar w:fldCharType="separate"/>
      </w:r>
      <w:r>
        <w:rPr>
          <w:rStyle w:val="w-footnote-number"/>
          <w:color w:val="800080"/>
          <w:position w:val="2"/>
          <w:sz w:val="26"/>
          <w:szCs w:val="26"/>
          <w:u w:val="single"/>
          <w:lang w:val="es-CO"/>
        </w:rPr>
        <w:t>[4]</w:t>
      </w:r>
      <w:r>
        <w:rPr>
          <w:color w:val="000000"/>
          <w:sz w:val="26"/>
          <w:szCs w:val="26"/>
        </w:rPr>
        <w:fldChar w:fldCharType="end"/>
      </w:r>
      <w:bookmarkEnd w:id="3"/>
      <w:r>
        <w:rPr>
          <w:color w:val="000000"/>
          <w:sz w:val="26"/>
          <w:szCs w:val="26"/>
        </w:rPr>
        <w:t>.</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Otro autor confirma que el Talmud Babilónico es considerado como la versión autorizada, así:</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 “La autoridad del Talmud Babilónico es también mayor que la del Talmud de Jerusalén. En caso de duda, el primero es decisivo”</w:t>
      </w:r>
      <w:bookmarkStart w:id="4" w:name="_ftnref15431"/>
      <w:r>
        <w:rPr>
          <w:color w:val="000000"/>
          <w:sz w:val="26"/>
          <w:szCs w:val="26"/>
        </w:rPr>
        <w:fldChar w:fldCharType="begin"/>
      </w:r>
      <w:r>
        <w:rPr>
          <w:color w:val="000000"/>
          <w:sz w:val="26"/>
          <w:szCs w:val="26"/>
        </w:rPr>
        <w:instrText xml:space="preserve"> HYPERLINK "http://www.islamreligion.com/es/articles/332/" \l "_ftn15431" \o " R.C. Musaph-Andriesse, De la Torá a la Cábala: Introducción Básica a los Escritos del Judaísmo. p. 40." </w:instrText>
      </w:r>
      <w:r>
        <w:rPr>
          <w:color w:val="000000"/>
          <w:sz w:val="26"/>
          <w:szCs w:val="26"/>
        </w:rPr>
        <w:fldChar w:fldCharType="separate"/>
      </w:r>
      <w:r>
        <w:rPr>
          <w:rStyle w:val="w-footnote-number"/>
          <w:color w:val="800080"/>
          <w:position w:val="2"/>
          <w:sz w:val="26"/>
          <w:szCs w:val="26"/>
          <w:u w:val="single"/>
          <w:lang w:val="es-CO"/>
        </w:rPr>
        <w:t>[5]</w:t>
      </w:r>
      <w:r>
        <w:rPr>
          <w:color w:val="000000"/>
          <w:sz w:val="26"/>
          <w:szCs w:val="26"/>
        </w:rPr>
        <w:fldChar w:fldCharType="end"/>
      </w:r>
      <w:bookmarkEnd w:id="4"/>
      <w:r>
        <w:rPr>
          <w:color w:val="000000"/>
          <w:sz w:val="26"/>
          <w:szCs w:val="26"/>
        </w:rPr>
        <w:t>.</w:t>
      </w:r>
    </w:p>
    <w:p w:rsidR="00E154CF" w:rsidRDefault="00E154CF" w:rsidP="00E154CF">
      <w:pPr>
        <w:pStyle w:val="Heading2"/>
        <w:shd w:val="clear" w:color="auto" w:fill="E1F4FD"/>
        <w:bidi w:val="0"/>
        <w:spacing w:before="225" w:after="150"/>
        <w:rPr>
          <w:color w:val="008000"/>
          <w:sz w:val="30"/>
          <w:szCs w:val="30"/>
        </w:rPr>
      </w:pPr>
      <w:r>
        <w:rPr>
          <w:color w:val="008000"/>
          <w:sz w:val="30"/>
          <w:szCs w:val="30"/>
        </w:rPr>
        <w:t>Autores del Talmud</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De acuerdo a los eruditos del Talmud, el Talmud es la forma escrita de las enseñanzas de los fariseos. ¿Y quiénes fueron los “fariseos”? La</w:t>
      </w:r>
      <w:r>
        <w:rPr>
          <w:rStyle w:val="apple-converted-space"/>
          <w:color w:val="000000"/>
          <w:sz w:val="26"/>
          <w:szCs w:val="26"/>
        </w:rPr>
        <w:t> </w:t>
      </w:r>
      <w:r>
        <w:rPr>
          <w:i/>
          <w:iCs/>
          <w:color w:val="000000"/>
          <w:sz w:val="26"/>
          <w:szCs w:val="26"/>
        </w:rPr>
        <w:t>Enciclopedia Universal Judía</w:t>
      </w:r>
      <w:r>
        <w:rPr>
          <w:rStyle w:val="apple-converted-space"/>
          <w:color w:val="000000"/>
          <w:sz w:val="26"/>
          <w:szCs w:val="26"/>
        </w:rPr>
        <w:t> </w:t>
      </w:r>
      <w:r>
        <w:rPr>
          <w:color w:val="000000"/>
          <w:sz w:val="26"/>
          <w:szCs w:val="26"/>
        </w:rPr>
        <w:t>declara bajo el tema de “fariseos”:</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 “La religión judía, como es hoy día, desciende en línea directa, sin interrupciones a través de todos los siglos, de los fariseos. Sus ideas y métodos principales encuentran expresión en una literatura de extensión enorme, de la que una gran cantidad aún existe. El Talmud es la mayor y más importante pieza de esa literatura… y su estudio es esencial para cualquier entendimiento real del fariseísmo”.</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En cuanto a los fariseos, la edición de 1905 de la</w:t>
      </w:r>
      <w:r>
        <w:rPr>
          <w:rStyle w:val="apple-converted-space"/>
          <w:color w:val="000000"/>
          <w:sz w:val="26"/>
          <w:szCs w:val="26"/>
        </w:rPr>
        <w:t> </w:t>
      </w:r>
      <w:r>
        <w:rPr>
          <w:i/>
          <w:iCs/>
          <w:color w:val="000000"/>
          <w:sz w:val="26"/>
          <w:szCs w:val="26"/>
        </w:rPr>
        <w:t>Enciclopedia Judía</w:t>
      </w:r>
      <w:r>
        <w:rPr>
          <w:rStyle w:val="apple-converted-space"/>
          <w:color w:val="000000"/>
          <w:sz w:val="26"/>
          <w:szCs w:val="26"/>
        </w:rPr>
        <w:t> </w:t>
      </w:r>
      <w:r>
        <w:rPr>
          <w:color w:val="000000"/>
          <w:sz w:val="26"/>
          <w:szCs w:val="26"/>
        </w:rPr>
        <w:t>dice, bajo el tema de “fariseos”:</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 “Con la destrucción del Templo (70 d.C.) los Saduceos desaparecieron también, dejando la regulación de todos los asuntos judíos en las manos de los fariseos. De ahí en adelante, la vida judía fue regulada por los fariseos, la historia entera del judaísmo fue reconstruida desde el punto de vista fariseo, y se le dio un nuevo aspecto al Sanedrín del pasado. Una nueva cadena de tradición suplantó la vieja tradición sacerdotal (Abot 1:1). El fariseísmo formó el carácter del judaísmo y la vida y pensamiento de los judíos por todo el futuro”.</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El Rabino Michael Rodkinson afirma:</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“¿La literatura con la que Jesús se familiarizó en sus primeros años aún existe en el mundo? ¿Es posible para nosotros acceder a ella? ¿Podemos revisar las ideas, las afirmaciones, los modos de razonamiento y de pensamiento sobre temas morales y religiosos que eran corrientes en su tiempo y que debieron haber sido [resueltos] por él durante aquellos silenciosos treinta años, cuando estaba sopesando su misión futura? Para estas cuestiones, la clase erudita de rabinos judíos responde –sosteniendo el Talmud–. Aquí, dicen ellos, está la fuente de la que Jesús de Nazaret obtuvo las enseñanzas que le permitieron revolucionar el mundo. La pregunta se hace ahora muy interesante para todo cristiano: ¿qué es el Talmud?... El Talmud, entonces, es la forma escrita de lo </w:t>
      </w:r>
      <w:r>
        <w:rPr>
          <w:color w:val="000000"/>
          <w:sz w:val="26"/>
          <w:szCs w:val="26"/>
        </w:rPr>
        <w:lastRenderedPageBreak/>
        <w:t>que, en la época de Jesús, fue llamado las “Tradiciones de los Ancianos”, y a las que él hace frecuentes alusiones”</w:t>
      </w:r>
      <w:bookmarkStart w:id="5" w:name="_ftnref15432"/>
      <w:r>
        <w:rPr>
          <w:color w:val="000000"/>
          <w:sz w:val="26"/>
          <w:szCs w:val="26"/>
        </w:rPr>
        <w:fldChar w:fldCharType="begin"/>
      </w:r>
      <w:r>
        <w:rPr>
          <w:color w:val="000000"/>
          <w:sz w:val="26"/>
          <w:szCs w:val="26"/>
        </w:rPr>
        <w:instrText xml:space="preserve"> HYPERLINK "http://www.islamreligion.com/es/articles/332/" \l "_ftn15432" \o " Rabino Michael Rodkinson, La Historia del Talmud, Vol. II, p. 70." </w:instrText>
      </w:r>
      <w:r>
        <w:rPr>
          <w:color w:val="000000"/>
          <w:sz w:val="26"/>
          <w:szCs w:val="26"/>
        </w:rPr>
        <w:fldChar w:fldCharType="separate"/>
      </w:r>
      <w:r>
        <w:rPr>
          <w:rStyle w:val="w-footnote-number"/>
          <w:color w:val="800080"/>
          <w:position w:val="2"/>
          <w:sz w:val="26"/>
          <w:szCs w:val="26"/>
          <w:u w:val="single"/>
          <w:lang w:val="es-CO"/>
        </w:rPr>
        <w:t>[6]</w:t>
      </w:r>
      <w:r>
        <w:rPr>
          <w:color w:val="000000"/>
          <w:sz w:val="26"/>
          <w:szCs w:val="26"/>
        </w:rPr>
        <w:fldChar w:fldCharType="end"/>
      </w:r>
      <w:bookmarkEnd w:id="5"/>
      <w:r>
        <w:rPr>
          <w:color w:val="000000"/>
          <w:sz w:val="26"/>
          <w:szCs w:val="26"/>
        </w:rPr>
        <w:t>.</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El Rabino Dr. Louis Finkelstein, instructor de Talmud, y más tarde presidente del Seminario Teológico Judío de Norteamérica, escribe:</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“El fariseísmo se hizo talmudismo, el talmudismo se hizo rabinismo medieval, y el rabinismo medieval se hizo rabinismo moderno. Pero, a través de esos cambios de nombre, inevitables adaptaciones de costumbres, y ajustes de la Ley, el espíritu de los fariseos ancestrales pervive inalterado. Cuando el judío lee sus oraciones, está recitando fórmulas preparadas por los eruditos pre-macabeos. Cuando se pone el manto prescrito para el Día de la Expiación y la víspera de la Pascua, está utilizando la vestimenta del festival de la antigua Jerusalén. Cuando estudia el Talmud, está, de hecho, repitiendo los argumentos utilizados en las academias de Palestina”</w:t>
      </w:r>
      <w:bookmarkStart w:id="6" w:name="_ftnref15433"/>
      <w:r>
        <w:rPr>
          <w:color w:val="000000"/>
          <w:sz w:val="26"/>
          <w:szCs w:val="26"/>
        </w:rPr>
        <w:fldChar w:fldCharType="begin"/>
      </w:r>
      <w:r>
        <w:rPr>
          <w:color w:val="000000"/>
          <w:sz w:val="26"/>
          <w:szCs w:val="26"/>
        </w:rPr>
        <w:instrText xml:space="preserve"> HYPERLINK "http://www.islamreligion.com/es/articles/332/" \l "_ftn15433" \o " Rabino Dr. Louis Finkelstein, Los Fariseos: Los Antecedentes Sociológicos de Su Fe, p. 21." </w:instrText>
      </w:r>
      <w:r>
        <w:rPr>
          <w:color w:val="000000"/>
          <w:sz w:val="26"/>
          <w:szCs w:val="26"/>
        </w:rPr>
        <w:fldChar w:fldCharType="separate"/>
      </w:r>
      <w:r>
        <w:rPr>
          <w:rStyle w:val="w-footnote-number"/>
          <w:color w:val="800080"/>
          <w:position w:val="2"/>
          <w:sz w:val="26"/>
          <w:szCs w:val="26"/>
          <w:u w:val="single"/>
          <w:lang w:val="es-CO"/>
        </w:rPr>
        <w:t>[7]</w:t>
      </w:r>
      <w:r>
        <w:rPr>
          <w:color w:val="000000"/>
          <w:sz w:val="26"/>
          <w:szCs w:val="26"/>
        </w:rPr>
        <w:fldChar w:fldCharType="end"/>
      </w:r>
      <w:bookmarkEnd w:id="6"/>
      <w:r>
        <w:rPr>
          <w:color w:val="000000"/>
          <w:sz w:val="26"/>
          <w:szCs w:val="26"/>
        </w:rPr>
        <w:t>.</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Está reportado que Jesús denunció enérgicamente a esta secta de sacerdotes judíos conocida como los fariseos:</w:t>
      </w:r>
    </w:p>
    <w:p w:rsidR="00E154CF" w:rsidRDefault="00E154CF" w:rsidP="00E154CF">
      <w:pPr>
        <w:pStyle w:val="w-hadeeth-or-bible"/>
        <w:shd w:val="clear" w:color="auto" w:fill="E1F4FD"/>
        <w:spacing w:before="0" w:beforeAutospacing="0" w:after="160" w:afterAutospacing="0"/>
        <w:rPr>
          <w:b/>
          <w:bCs/>
          <w:color w:val="000000"/>
          <w:sz w:val="26"/>
          <w:szCs w:val="26"/>
        </w:rPr>
      </w:pPr>
      <w:r>
        <w:rPr>
          <w:b/>
          <w:bCs/>
          <w:color w:val="000000"/>
          <w:sz w:val="26"/>
          <w:szCs w:val="26"/>
        </w:rPr>
        <w:t>“Ustedes son de su padre, el diablo, cuyos deseos quieren cumplir. Desde el principio éste ha sido un asesino, y no se mantiene en la verdad, porque no hay verdad en él. Cuando miente, expresa su propia naturaleza, porque es un mentiroso. ¡Es el padre de la mentira!” (Juan 8:44)</w:t>
      </w:r>
    </w:p>
    <w:p w:rsidR="00E154CF" w:rsidRDefault="00E154CF" w:rsidP="00E154CF">
      <w:pPr>
        <w:pStyle w:val="w-body-text-1"/>
        <w:shd w:val="clear" w:color="auto" w:fill="E1F4FD"/>
        <w:spacing w:before="0" w:beforeAutospacing="0" w:after="160" w:afterAutospacing="0"/>
        <w:ind w:firstLine="397"/>
        <w:rPr>
          <w:color w:val="000000"/>
          <w:sz w:val="26"/>
          <w:szCs w:val="26"/>
        </w:rPr>
      </w:pPr>
      <w:r>
        <w:rPr>
          <w:color w:val="000000"/>
          <w:sz w:val="26"/>
          <w:szCs w:val="26"/>
        </w:rPr>
        <w:t>Además, se registró que Jesús había dicho que ellos anularon todos los Mandamientos de Dios por su tradición, “sus enseñanzas no son más que reglas humanas” (Marcos 7:13; Mateo 15:6-9, etc.). Su invectiva, en verdad, no puede ser igualada. Todo Mateo 23 es como un latigazo. Comparó el fariseísmo con un sepulcro blanco, de hecho hermoso por fuera, pero “lleno por dentro de huesos de hombres muertos y de toda inmundicia”. Cristo llegó al clímax de una condena tras otra con la imprecación “¡Hipócritas!”. Llamó a los fariseos hijos de aquellos que mataron a los Profetas. Predijo que ellos matarían, crucificarían y perseguirían hasta que la culpa por toda la sangre derramada desde Abel para abajo recaería sobre ellos. “¡Serpientes! ¡Camada de víboras! ¿Cómo escaparán ustedes de la condenación del Infierno?”, pregunta Jesús.</w:t>
      </w:r>
    </w:p>
    <w:p w:rsidR="00E154CF" w:rsidRDefault="00E154CF" w:rsidP="00E154CF">
      <w:pPr>
        <w:shd w:val="clear" w:color="auto" w:fill="E1F4FD"/>
        <w:bidi w:val="0"/>
        <w:rPr>
          <w:rFonts w:ascii="Arial" w:hAnsi="Arial" w:cs="Arial"/>
          <w:color w:val="000000"/>
          <w:sz w:val="20"/>
          <w:szCs w:val="20"/>
        </w:rPr>
      </w:pPr>
      <w:r>
        <w:rPr>
          <w:rFonts w:ascii="Arial" w:hAnsi="Arial" w:cs="Arial"/>
          <w:color w:val="000000"/>
          <w:sz w:val="20"/>
          <w:szCs w:val="20"/>
        </w:rPr>
        <w:br w:type="textWrapping" w:clear="all"/>
      </w:r>
    </w:p>
    <w:p w:rsidR="00E154CF" w:rsidRDefault="00E154CF" w:rsidP="00E154CF">
      <w:pPr>
        <w:shd w:val="clear" w:color="auto" w:fill="E1F4FD"/>
        <w:bidi w:val="0"/>
        <w:rPr>
          <w:rFonts w:ascii="Arial" w:hAnsi="Arial" w:cs="Arial"/>
          <w:color w:val="000000"/>
          <w:sz w:val="20"/>
          <w:szCs w:val="20"/>
        </w:rPr>
      </w:pPr>
      <w:r>
        <w:rPr>
          <w:rFonts w:ascii="Arial" w:hAnsi="Arial" w:cs="Arial"/>
          <w:color w:val="000000"/>
          <w:sz w:val="20"/>
          <w:szCs w:val="20"/>
        </w:rPr>
        <w:pict>
          <v:rect id="_x0000_i1025" style="width:138.85pt;height:1.5pt" o:hrpct="0" o:hralign="center" o:hrstd="t" o:hr="t" fillcolor="#a0a0a0" stroked="f"/>
        </w:pict>
      </w:r>
    </w:p>
    <w:p w:rsidR="00E154CF" w:rsidRDefault="00E154CF" w:rsidP="00E154CF">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7" w:name="_ftn15427"/>
    <w:p w:rsidR="00E154CF" w:rsidRDefault="00E154CF" w:rsidP="00E154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"http://www.islamreligion.com/es/articles/332/" \l "_ftnref15427" \o "Back to the refrence of this footnote" </w:instrText>
      </w:r>
      <w:r>
        <w:rPr>
          <w:color w:val="000000"/>
          <w:sz w:val="22"/>
          <w:szCs w:val="22"/>
        </w:rPr>
        <w:fldChar w:fldCharType="separate"/>
      </w:r>
      <w:r>
        <w:rPr>
          <w:rStyle w:val="w-footnote-number"/>
          <w:color w:val="800080"/>
          <w:position w:val="2"/>
          <w:sz w:val="22"/>
          <w:szCs w:val="22"/>
          <w:u w:val="single"/>
          <w:lang w:val="es-CO"/>
        </w:rPr>
        <w:t>[1]</w:t>
      </w:r>
      <w:r>
        <w:rPr>
          <w:color w:val="000000"/>
          <w:sz w:val="22"/>
          <w:szCs w:val="22"/>
        </w:rPr>
        <w:fldChar w:fldCharType="end"/>
      </w:r>
      <w:bookmarkEnd w:id="7"/>
      <w:r>
        <w:rPr>
          <w:rStyle w:val="apple-converted-space"/>
          <w:color w:val="000000"/>
          <w:sz w:val="22"/>
          <w:szCs w:val="22"/>
          <w:lang w:val="es-CO"/>
        </w:rPr>
        <w:t> </w:t>
      </w:r>
      <w:r>
        <w:rPr>
          <w:color w:val="000000"/>
          <w:sz w:val="22"/>
          <w:szCs w:val="22"/>
          <w:lang w:val="es-CO"/>
        </w:rPr>
        <w:t>“Talmud y Midrash”.</w:t>
      </w:r>
      <w:r>
        <w:rPr>
          <w:rStyle w:val="apple-converted-space"/>
          <w:color w:val="000000"/>
          <w:sz w:val="22"/>
          <w:szCs w:val="22"/>
          <w:lang w:val="es-CO"/>
        </w:rPr>
        <w:t> </w:t>
      </w:r>
      <w:r>
        <w:rPr>
          <w:i/>
          <w:iCs/>
          <w:color w:val="000000"/>
          <w:sz w:val="22"/>
          <w:szCs w:val="22"/>
          <w:lang w:val="es-CO"/>
        </w:rPr>
        <w:t>Enciclopedia Británica</w:t>
      </w:r>
      <w:r>
        <w:rPr>
          <w:color w:val="000000"/>
          <w:sz w:val="22"/>
          <w:szCs w:val="22"/>
          <w:lang w:val="es-CO"/>
        </w:rPr>
        <w:t>. 2006.</w:t>
      </w:r>
    </w:p>
    <w:bookmarkStart w:id="8" w:name="_ftn15428"/>
    <w:p w:rsidR="00E154CF" w:rsidRDefault="00E154CF" w:rsidP="00E154CF">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"http://www.islamreligion.com/es/articles/332/" \l "_ftnref15428" \o "Back to the refrence of this footnote" </w:instrText>
      </w:r>
      <w:r>
        <w:rPr>
          <w:color w:val="000000"/>
          <w:sz w:val="22"/>
          <w:szCs w:val="22"/>
        </w:rPr>
        <w:fldChar w:fldCharType="separate"/>
      </w:r>
      <w:r>
        <w:rPr>
          <w:rStyle w:val="w-footnote-number"/>
          <w:color w:val="800080"/>
          <w:position w:val="2"/>
          <w:sz w:val="20"/>
          <w:szCs w:val="20"/>
          <w:u w:val="single"/>
          <w:lang w:val="es-CO"/>
        </w:rPr>
        <w:t>[2]</w:t>
      </w:r>
      <w:r>
        <w:rPr>
          <w:color w:val="000000"/>
          <w:sz w:val="22"/>
          <w:szCs w:val="22"/>
        </w:rPr>
        <w:fldChar w:fldCharType="end"/>
      </w:r>
      <w:bookmarkEnd w:id="8"/>
      <w:r>
        <w:rPr>
          <w:rStyle w:val="apple-converted-space"/>
          <w:color w:val="000000"/>
          <w:sz w:val="22"/>
          <w:szCs w:val="22"/>
          <w:lang w:val="es-CO"/>
        </w:rPr>
        <w:t> </w:t>
      </w:r>
      <w:r>
        <w:rPr>
          <w:color w:val="000000"/>
          <w:sz w:val="22"/>
          <w:szCs w:val="22"/>
          <w:lang w:val="es-CO"/>
        </w:rPr>
        <w:t>Jacob Neusner,</w:t>
      </w:r>
      <w:r>
        <w:rPr>
          <w:rStyle w:val="apple-converted-space"/>
          <w:color w:val="000000"/>
          <w:sz w:val="22"/>
          <w:szCs w:val="22"/>
          <w:lang w:val="es-CO"/>
        </w:rPr>
        <w:t> </w:t>
      </w:r>
      <w:r>
        <w:rPr>
          <w:i/>
          <w:iCs/>
          <w:color w:val="000000"/>
          <w:sz w:val="22"/>
          <w:szCs w:val="22"/>
          <w:lang w:val="es-CO"/>
        </w:rPr>
        <w:t>Cómo Trabaja el Talmud</w:t>
      </w:r>
      <w:r>
        <w:rPr>
          <w:rStyle w:val="apple-converted-space"/>
          <w:i/>
          <w:iCs/>
          <w:color w:val="000000"/>
          <w:sz w:val="22"/>
          <w:szCs w:val="22"/>
          <w:lang w:val="es-CO"/>
        </w:rPr>
        <w:t> </w:t>
      </w:r>
      <w:r>
        <w:rPr>
          <w:color w:val="000000"/>
          <w:sz w:val="22"/>
          <w:szCs w:val="22"/>
          <w:lang w:val="es-CO"/>
        </w:rPr>
        <w:t>(Boston: Brill, 2002) ix.</w:t>
      </w:r>
    </w:p>
    <w:bookmarkStart w:id="9" w:name="_ftn15429"/>
    <w:p w:rsidR="00E154CF" w:rsidRDefault="00E154CF" w:rsidP="00E154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"http://www.islamreligion.com/es/articles/332/" \l "_ftnref15429" \o "Back to the refrence of this footnote" </w:instrText>
      </w:r>
      <w:r>
        <w:rPr>
          <w:color w:val="000000"/>
          <w:sz w:val="22"/>
          <w:szCs w:val="22"/>
        </w:rPr>
        <w:fldChar w:fldCharType="separate"/>
      </w:r>
      <w:r>
        <w:rPr>
          <w:rStyle w:val="w-footnote-number"/>
          <w:color w:val="800080"/>
          <w:position w:val="2"/>
          <w:sz w:val="22"/>
          <w:szCs w:val="22"/>
          <w:u w:val="single"/>
          <w:lang w:val="es-CO"/>
        </w:rPr>
        <w:t>[3]</w:t>
      </w:r>
      <w:r>
        <w:rPr>
          <w:color w:val="000000"/>
          <w:sz w:val="22"/>
          <w:szCs w:val="22"/>
        </w:rPr>
        <w:fldChar w:fldCharType="end"/>
      </w:r>
      <w:bookmarkEnd w:id="9"/>
      <w:r>
        <w:rPr>
          <w:rStyle w:val="apple-converted-space"/>
          <w:color w:val="000000"/>
          <w:sz w:val="22"/>
          <w:szCs w:val="22"/>
          <w:lang w:val="es-CO"/>
        </w:rPr>
        <w:t> </w:t>
      </w:r>
      <w:r>
        <w:rPr>
          <w:color w:val="000000"/>
          <w:sz w:val="22"/>
          <w:szCs w:val="22"/>
          <w:lang w:val="es-CO"/>
        </w:rPr>
        <w:t>Liga Antidifamación,</w:t>
      </w:r>
      <w:r>
        <w:rPr>
          <w:rStyle w:val="apple-converted-space"/>
          <w:color w:val="000000"/>
          <w:sz w:val="22"/>
          <w:szCs w:val="22"/>
          <w:lang w:val="es-CO"/>
        </w:rPr>
        <w:t> </w:t>
      </w:r>
      <w:r>
        <w:rPr>
          <w:i/>
          <w:iCs/>
          <w:color w:val="000000"/>
          <w:sz w:val="22"/>
          <w:szCs w:val="22"/>
          <w:lang w:val="es-CO"/>
        </w:rPr>
        <w:t>El Talmud en las Polémicas Antisemitas</w:t>
      </w:r>
      <w:r>
        <w:rPr>
          <w:color w:val="000000"/>
          <w:sz w:val="22"/>
          <w:szCs w:val="22"/>
          <w:lang w:val="es-CO"/>
        </w:rPr>
        <w:t>, Febrero 2003, (http://www.adl.org/presrele/asus%5F12/the_talmud.pdf).</w:t>
      </w:r>
    </w:p>
    <w:bookmarkStart w:id="10" w:name="_ftn15430"/>
    <w:p w:rsidR="00E154CF" w:rsidRDefault="00E154CF" w:rsidP="00E154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"http://www.islamreligion.com/es/articles/332/" \l "_ftnref15430" \o "Back to the refrence of this footnote" </w:instrText>
      </w:r>
      <w:r>
        <w:rPr>
          <w:color w:val="000000"/>
          <w:sz w:val="22"/>
          <w:szCs w:val="22"/>
        </w:rPr>
        <w:fldChar w:fldCharType="separate"/>
      </w:r>
      <w:r>
        <w:rPr>
          <w:rStyle w:val="w-footnote-number"/>
          <w:color w:val="800080"/>
          <w:position w:val="2"/>
          <w:sz w:val="22"/>
          <w:szCs w:val="22"/>
          <w:u w:val="single"/>
          <w:lang w:val="es-CO"/>
        </w:rPr>
        <w:t>[4]</w:t>
      </w:r>
      <w:r>
        <w:rPr>
          <w:color w:val="000000"/>
          <w:sz w:val="22"/>
          <w:szCs w:val="22"/>
        </w:rPr>
        <w:fldChar w:fldCharType="end"/>
      </w:r>
      <w:bookmarkEnd w:id="10"/>
      <w:r>
        <w:rPr>
          <w:rStyle w:val="apple-converted-space"/>
          <w:color w:val="000000"/>
          <w:sz w:val="22"/>
          <w:szCs w:val="22"/>
          <w:lang w:val="es-CO"/>
        </w:rPr>
        <w:t> </w:t>
      </w:r>
      <w:r>
        <w:rPr>
          <w:color w:val="000000"/>
          <w:sz w:val="22"/>
          <w:szCs w:val="22"/>
          <w:lang w:val="es-CO"/>
        </w:rPr>
        <w:t>Profesor Israel Shahak,</w:t>
      </w:r>
      <w:r>
        <w:rPr>
          <w:rStyle w:val="apple-converted-space"/>
          <w:color w:val="000000"/>
          <w:sz w:val="22"/>
          <w:szCs w:val="22"/>
          <w:lang w:val="es-CO"/>
        </w:rPr>
        <w:t> </w:t>
      </w:r>
      <w:r>
        <w:rPr>
          <w:i/>
          <w:iCs/>
          <w:color w:val="000000"/>
          <w:sz w:val="22"/>
          <w:szCs w:val="22"/>
          <w:lang w:val="es-CO"/>
        </w:rPr>
        <w:t>Historia Judía, Religión Judía: El Peso de Tres Mil Años</w:t>
      </w:r>
      <w:r>
        <w:rPr>
          <w:color w:val="000000"/>
          <w:sz w:val="22"/>
          <w:szCs w:val="22"/>
          <w:lang w:val="es-CO"/>
        </w:rPr>
        <w:t>(Boulder: Pluto Press, 1994). Cap. 3.</w:t>
      </w:r>
    </w:p>
    <w:bookmarkStart w:id="11" w:name="_ftn15431"/>
    <w:p w:rsidR="00E154CF" w:rsidRDefault="00E154CF" w:rsidP="00E154CF">
      <w:pPr>
        <w:pStyle w:val="w-footnote-text"/>
        <w:shd w:val="clear" w:color="auto" w:fill="E1F4FD"/>
        <w:spacing w:before="90" w:beforeAutospacing="0" w:after="90" w:afterAutospacing="0"/>
        <w:rPr>
          <w:color w:val="000000"/>
          <w:sz w:val="22"/>
          <w:szCs w:val="22"/>
        </w:rPr>
      </w:pPr>
      <w:r>
        <w:rPr>
          <w:color w:val="000000"/>
          <w:sz w:val="22"/>
          <w:szCs w:val="22"/>
        </w:rPr>
        <w:lastRenderedPageBreak/>
        <w:fldChar w:fldCharType="begin"/>
      </w:r>
      <w:r>
        <w:rPr>
          <w:color w:val="000000"/>
          <w:sz w:val="22"/>
          <w:szCs w:val="22"/>
        </w:rPr>
        <w:instrText xml:space="preserve"> HYPERLINK "http://www.islamreligion.com/es/articles/332/" \l "_ftnref15431" \o "Back to the refrence of this footnote" </w:instrText>
      </w:r>
      <w:r>
        <w:rPr>
          <w:color w:val="000000"/>
          <w:sz w:val="22"/>
          <w:szCs w:val="22"/>
        </w:rPr>
        <w:fldChar w:fldCharType="separate"/>
      </w:r>
      <w:r>
        <w:rPr>
          <w:rStyle w:val="w-footnote-number"/>
          <w:color w:val="800080"/>
          <w:position w:val="2"/>
          <w:sz w:val="22"/>
          <w:szCs w:val="22"/>
          <w:u w:val="single"/>
          <w:lang w:val="es-CO"/>
        </w:rPr>
        <w:t>[5]</w:t>
      </w:r>
      <w:r>
        <w:rPr>
          <w:color w:val="000000"/>
          <w:sz w:val="22"/>
          <w:szCs w:val="22"/>
        </w:rPr>
        <w:fldChar w:fldCharType="end"/>
      </w:r>
      <w:bookmarkEnd w:id="11"/>
      <w:r>
        <w:rPr>
          <w:rStyle w:val="apple-converted-space"/>
          <w:color w:val="000000"/>
          <w:sz w:val="22"/>
          <w:szCs w:val="22"/>
          <w:lang w:val="es-CO"/>
        </w:rPr>
        <w:t> </w:t>
      </w:r>
      <w:r>
        <w:rPr>
          <w:color w:val="000000"/>
          <w:sz w:val="22"/>
          <w:szCs w:val="22"/>
          <w:lang w:val="es-CO"/>
        </w:rPr>
        <w:t>R.C. Musaph-Andriesse,</w:t>
      </w:r>
      <w:r>
        <w:rPr>
          <w:rStyle w:val="apple-converted-space"/>
          <w:color w:val="000000"/>
          <w:sz w:val="22"/>
          <w:szCs w:val="22"/>
          <w:lang w:val="es-CO"/>
        </w:rPr>
        <w:t> </w:t>
      </w:r>
      <w:r>
        <w:rPr>
          <w:i/>
          <w:iCs/>
          <w:color w:val="000000"/>
          <w:sz w:val="22"/>
          <w:szCs w:val="22"/>
          <w:lang w:val="es-CO"/>
        </w:rPr>
        <w:t>De la Torá a la Cábala: Introducción Básica a los Escritos del Judaísmo</w:t>
      </w:r>
      <w:r>
        <w:rPr>
          <w:color w:val="000000"/>
          <w:sz w:val="22"/>
          <w:szCs w:val="22"/>
          <w:lang w:val="es-CO"/>
        </w:rPr>
        <w:t>. p. 40.</w:t>
      </w:r>
    </w:p>
    <w:bookmarkStart w:id="12" w:name="_ftn15432"/>
    <w:p w:rsidR="00E154CF" w:rsidRDefault="00E154CF" w:rsidP="00E154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"http://www.islamreligion.com/es/articles/332/" \l "_ftnref15432" \o "Back to the refrence of this footnote" </w:instrText>
      </w:r>
      <w:r>
        <w:rPr>
          <w:color w:val="000000"/>
          <w:sz w:val="22"/>
          <w:szCs w:val="22"/>
        </w:rPr>
        <w:fldChar w:fldCharType="separate"/>
      </w:r>
      <w:r>
        <w:rPr>
          <w:rStyle w:val="w-footnote-number"/>
          <w:color w:val="800080"/>
          <w:position w:val="2"/>
          <w:sz w:val="22"/>
          <w:szCs w:val="22"/>
          <w:u w:val="single"/>
          <w:lang w:val="es-CO"/>
        </w:rPr>
        <w:t>[6]</w:t>
      </w:r>
      <w:r>
        <w:rPr>
          <w:color w:val="000000"/>
          <w:sz w:val="22"/>
          <w:szCs w:val="22"/>
        </w:rPr>
        <w:fldChar w:fldCharType="end"/>
      </w:r>
      <w:bookmarkEnd w:id="12"/>
      <w:r>
        <w:rPr>
          <w:rStyle w:val="apple-converted-space"/>
          <w:color w:val="000000"/>
          <w:sz w:val="22"/>
          <w:szCs w:val="22"/>
          <w:lang w:val="es-CO"/>
        </w:rPr>
        <w:t> </w:t>
      </w:r>
      <w:r>
        <w:rPr>
          <w:color w:val="000000"/>
          <w:sz w:val="22"/>
          <w:szCs w:val="22"/>
          <w:lang w:val="es-CO"/>
        </w:rPr>
        <w:t>Rabino Michael Rodkinson,</w:t>
      </w:r>
      <w:r>
        <w:rPr>
          <w:rStyle w:val="apple-converted-space"/>
          <w:color w:val="000000"/>
          <w:sz w:val="22"/>
          <w:szCs w:val="22"/>
          <w:lang w:val="es-CO"/>
        </w:rPr>
        <w:t> </w:t>
      </w:r>
      <w:r>
        <w:rPr>
          <w:i/>
          <w:iCs/>
          <w:color w:val="000000"/>
          <w:sz w:val="22"/>
          <w:szCs w:val="22"/>
          <w:lang w:val="es-CO"/>
        </w:rPr>
        <w:t>La Historia del Talmud</w:t>
      </w:r>
      <w:r>
        <w:rPr>
          <w:color w:val="000000"/>
          <w:sz w:val="22"/>
          <w:szCs w:val="22"/>
          <w:lang w:val="es-CO"/>
        </w:rPr>
        <w:t>, Vol. II, p. 70.</w:t>
      </w:r>
    </w:p>
    <w:bookmarkStart w:id="13" w:name="_ftn15433"/>
    <w:p w:rsidR="00E154CF" w:rsidRDefault="00E154CF" w:rsidP="00E154CF">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"http://www.islamreligion.com/es/articles/332/" \l "_ftnref15433" \o "Back to the refrence of this footnote" </w:instrText>
      </w:r>
      <w:r>
        <w:rPr>
          <w:color w:val="000000"/>
          <w:sz w:val="22"/>
          <w:szCs w:val="22"/>
        </w:rPr>
        <w:fldChar w:fldCharType="separate"/>
      </w:r>
      <w:r>
        <w:rPr>
          <w:rStyle w:val="w-footnote-number"/>
          <w:color w:val="800080"/>
          <w:position w:val="2"/>
          <w:sz w:val="22"/>
          <w:szCs w:val="22"/>
          <w:u w:val="single"/>
          <w:lang w:val="es-CO"/>
        </w:rPr>
        <w:t>[7]</w:t>
      </w:r>
      <w:r>
        <w:rPr>
          <w:color w:val="000000"/>
          <w:sz w:val="22"/>
          <w:szCs w:val="22"/>
        </w:rPr>
        <w:fldChar w:fldCharType="end"/>
      </w:r>
      <w:bookmarkEnd w:id="13"/>
      <w:r>
        <w:rPr>
          <w:rStyle w:val="apple-converted-space"/>
          <w:color w:val="000000"/>
          <w:sz w:val="22"/>
          <w:szCs w:val="22"/>
          <w:lang w:val="es-CO"/>
        </w:rPr>
        <w:t> </w:t>
      </w:r>
      <w:r>
        <w:rPr>
          <w:color w:val="000000"/>
          <w:sz w:val="22"/>
          <w:szCs w:val="22"/>
          <w:lang w:val="es-CO"/>
        </w:rPr>
        <w:t>Rabino Dr. Louis Finkelstein,</w:t>
      </w:r>
      <w:r>
        <w:rPr>
          <w:rStyle w:val="apple-converted-space"/>
          <w:color w:val="000000"/>
          <w:sz w:val="22"/>
          <w:szCs w:val="22"/>
          <w:lang w:val="es-CO"/>
        </w:rPr>
        <w:t> </w:t>
      </w:r>
      <w:r>
        <w:rPr>
          <w:i/>
          <w:iCs/>
          <w:color w:val="000000"/>
          <w:sz w:val="22"/>
          <w:szCs w:val="22"/>
          <w:lang w:val="es-CO"/>
        </w:rPr>
        <w:t>Los Fariseos: Los Antecedentes Sociológicos de Su Fe</w:t>
      </w:r>
      <w:r>
        <w:rPr>
          <w:color w:val="000000"/>
          <w:sz w:val="22"/>
          <w:szCs w:val="22"/>
          <w:lang w:val="es-CO"/>
        </w:rPr>
        <w:t>, p. 21.</w:t>
      </w:r>
    </w:p>
    <w:p w:rsidR="005C7652" w:rsidRPr="00E154CF" w:rsidRDefault="005C7652" w:rsidP="00E154CF">
      <w:pPr>
        <w:rPr>
          <w:rtl/>
          <w:lang w:bidi="ar-EG"/>
        </w:rPr>
      </w:pPr>
    </w:p>
    <w:sectPr w:rsidR="005C7652" w:rsidRPr="00E154CF"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B2FF0"/>
    <w:rsid w:val="0012644C"/>
    <w:rsid w:val="00294D75"/>
    <w:rsid w:val="00593114"/>
    <w:rsid w:val="005A6611"/>
    <w:rsid w:val="005C7652"/>
    <w:rsid w:val="00883164"/>
    <w:rsid w:val="00A908A6"/>
    <w:rsid w:val="00CB2FF0"/>
    <w:rsid w:val="00CC4B6B"/>
    <w:rsid w:val="00E154C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3164"/>
    <w:pPr>
      <w:bidi/>
    </w:pPr>
  </w:style>
  <w:style w:type="paragraph" w:styleId="Heading1">
    <w:name w:val="heading 1"/>
    <w:basedOn w:val="Normal"/>
    <w:link w:val="Heading1Char"/>
    <w:uiPriority w:val="9"/>
    <w:qFormat/>
    <w:rsid w:val="005C7652"/>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5C76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652"/>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5C76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652"/>
    <w:rPr>
      <w:rFonts w:ascii="Tahoma" w:hAnsi="Tahoma" w:cs="Tahoma"/>
      <w:sz w:val="16"/>
      <w:szCs w:val="16"/>
    </w:rPr>
  </w:style>
  <w:style w:type="character" w:customStyle="1" w:styleId="Heading2Char">
    <w:name w:val="Heading 2 Char"/>
    <w:basedOn w:val="DefaultParagraphFont"/>
    <w:link w:val="Heading2"/>
    <w:uiPriority w:val="9"/>
    <w:semiHidden/>
    <w:rsid w:val="005C7652"/>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5C7652"/>
  </w:style>
  <w:style w:type="character" w:customStyle="1" w:styleId="apple-converted-space">
    <w:name w:val="apple-converted-space"/>
    <w:basedOn w:val="DefaultParagraphFont"/>
    <w:rsid w:val="005C7652"/>
  </w:style>
  <w:style w:type="character" w:customStyle="1" w:styleId="w-footnote-title">
    <w:name w:val="w-footnote-title"/>
    <w:basedOn w:val="DefaultParagraphFont"/>
    <w:rsid w:val="005C7652"/>
  </w:style>
  <w:style w:type="paragraph" w:customStyle="1" w:styleId="w-footnote-text">
    <w:name w:val="w-footnote-text"/>
    <w:basedOn w:val="Normal"/>
    <w:rsid w:val="005C7652"/>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stbody1">
    <w:name w:val="postbody1"/>
    <w:basedOn w:val="DefaultParagraphFont"/>
    <w:rsid w:val="00593114"/>
  </w:style>
  <w:style w:type="character" w:customStyle="1" w:styleId="german1">
    <w:name w:val="german1"/>
    <w:basedOn w:val="DefaultParagraphFont"/>
    <w:rsid w:val="00593114"/>
  </w:style>
  <w:style w:type="paragraph" w:styleId="FootnoteText">
    <w:name w:val="footnote text"/>
    <w:basedOn w:val="Normal"/>
    <w:link w:val="FootnoteTextChar"/>
    <w:uiPriority w:val="99"/>
    <w:semiHidden/>
    <w:unhideWhenUsed/>
    <w:rsid w:val="0059311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593114"/>
    <w:rPr>
      <w:rFonts w:ascii="Times New Roman" w:eastAsia="Times New Roman" w:hAnsi="Times New Roman" w:cs="Times New Roman"/>
      <w:sz w:val="24"/>
      <w:szCs w:val="24"/>
    </w:rPr>
  </w:style>
  <w:style w:type="character" w:customStyle="1" w:styleId="apple-style-span">
    <w:name w:val="apple-style-span"/>
    <w:basedOn w:val="DefaultParagraphFont"/>
    <w:rsid w:val="00A908A6"/>
  </w:style>
  <w:style w:type="character" w:styleId="FootnoteReference">
    <w:name w:val="footnote reference"/>
    <w:basedOn w:val="DefaultParagraphFont"/>
    <w:uiPriority w:val="99"/>
    <w:semiHidden/>
    <w:unhideWhenUsed/>
    <w:rsid w:val="00CC4B6B"/>
  </w:style>
</w:styles>
</file>

<file path=word/webSettings.xml><?xml version="1.0" encoding="utf-8"?>
<w:webSettings xmlns:r="http://schemas.openxmlformats.org/officeDocument/2006/relationships" xmlns:w="http://schemas.openxmlformats.org/wordprocessingml/2006/main">
  <w:divs>
    <w:div w:id="15428272">
      <w:bodyDiv w:val="1"/>
      <w:marLeft w:val="0"/>
      <w:marRight w:val="0"/>
      <w:marTop w:val="0"/>
      <w:marBottom w:val="0"/>
      <w:divBdr>
        <w:top w:val="none" w:sz="0" w:space="0" w:color="auto"/>
        <w:left w:val="none" w:sz="0" w:space="0" w:color="auto"/>
        <w:bottom w:val="none" w:sz="0" w:space="0" w:color="auto"/>
        <w:right w:val="none" w:sz="0" w:space="0" w:color="auto"/>
      </w:divBdr>
    </w:div>
    <w:div w:id="71632855">
      <w:bodyDiv w:val="1"/>
      <w:marLeft w:val="0"/>
      <w:marRight w:val="0"/>
      <w:marTop w:val="0"/>
      <w:marBottom w:val="0"/>
      <w:divBdr>
        <w:top w:val="none" w:sz="0" w:space="0" w:color="auto"/>
        <w:left w:val="none" w:sz="0" w:space="0" w:color="auto"/>
        <w:bottom w:val="none" w:sz="0" w:space="0" w:color="auto"/>
        <w:right w:val="none" w:sz="0" w:space="0" w:color="auto"/>
      </w:divBdr>
      <w:divsChild>
        <w:div w:id="1726834721">
          <w:marLeft w:val="0"/>
          <w:marRight w:val="0"/>
          <w:marTop w:val="0"/>
          <w:marBottom w:val="0"/>
          <w:divBdr>
            <w:top w:val="none" w:sz="0" w:space="0" w:color="auto"/>
            <w:left w:val="none" w:sz="0" w:space="0" w:color="auto"/>
            <w:bottom w:val="none" w:sz="0" w:space="0" w:color="auto"/>
            <w:right w:val="none" w:sz="0" w:space="0" w:color="auto"/>
          </w:divBdr>
        </w:div>
        <w:div w:id="1894004321">
          <w:marLeft w:val="0"/>
          <w:marRight w:val="0"/>
          <w:marTop w:val="0"/>
          <w:marBottom w:val="0"/>
          <w:divBdr>
            <w:top w:val="none" w:sz="0" w:space="0" w:color="auto"/>
            <w:left w:val="none" w:sz="0" w:space="0" w:color="auto"/>
            <w:bottom w:val="none" w:sz="0" w:space="0" w:color="auto"/>
            <w:right w:val="none" w:sz="0" w:space="0" w:color="auto"/>
          </w:divBdr>
        </w:div>
        <w:div w:id="863976982">
          <w:marLeft w:val="0"/>
          <w:marRight w:val="0"/>
          <w:marTop w:val="0"/>
          <w:marBottom w:val="0"/>
          <w:divBdr>
            <w:top w:val="none" w:sz="0" w:space="0" w:color="auto"/>
            <w:left w:val="none" w:sz="0" w:space="0" w:color="auto"/>
            <w:bottom w:val="none" w:sz="0" w:space="0" w:color="auto"/>
            <w:right w:val="none" w:sz="0" w:space="0" w:color="auto"/>
          </w:divBdr>
        </w:div>
        <w:div w:id="1869247361">
          <w:marLeft w:val="0"/>
          <w:marRight w:val="0"/>
          <w:marTop w:val="0"/>
          <w:marBottom w:val="0"/>
          <w:divBdr>
            <w:top w:val="none" w:sz="0" w:space="0" w:color="auto"/>
            <w:left w:val="none" w:sz="0" w:space="0" w:color="auto"/>
            <w:bottom w:val="none" w:sz="0" w:space="0" w:color="auto"/>
            <w:right w:val="none" w:sz="0" w:space="0" w:color="auto"/>
          </w:divBdr>
        </w:div>
        <w:div w:id="993026928">
          <w:marLeft w:val="0"/>
          <w:marRight w:val="0"/>
          <w:marTop w:val="0"/>
          <w:marBottom w:val="0"/>
          <w:divBdr>
            <w:top w:val="none" w:sz="0" w:space="0" w:color="auto"/>
            <w:left w:val="none" w:sz="0" w:space="0" w:color="auto"/>
            <w:bottom w:val="none" w:sz="0" w:space="0" w:color="auto"/>
            <w:right w:val="none" w:sz="0" w:space="0" w:color="auto"/>
          </w:divBdr>
        </w:div>
        <w:div w:id="1571774423">
          <w:marLeft w:val="0"/>
          <w:marRight w:val="0"/>
          <w:marTop w:val="0"/>
          <w:marBottom w:val="0"/>
          <w:divBdr>
            <w:top w:val="none" w:sz="0" w:space="0" w:color="auto"/>
            <w:left w:val="none" w:sz="0" w:space="0" w:color="auto"/>
            <w:bottom w:val="none" w:sz="0" w:space="0" w:color="auto"/>
            <w:right w:val="none" w:sz="0" w:space="0" w:color="auto"/>
          </w:divBdr>
        </w:div>
        <w:div w:id="1354264130">
          <w:marLeft w:val="0"/>
          <w:marRight w:val="0"/>
          <w:marTop w:val="0"/>
          <w:marBottom w:val="0"/>
          <w:divBdr>
            <w:top w:val="none" w:sz="0" w:space="0" w:color="auto"/>
            <w:left w:val="none" w:sz="0" w:space="0" w:color="auto"/>
            <w:bottom w:val="none" w:sz="0" w:space="0" w:color="auto"/>
            <w:right w:val="none" w:sz="0" w:space="0" w:color="auto"/>
          </w:divBdr>
        </w:div>
      </w:divsChild>
    </w:div>
    <w:div w:id="286859857">
      <w:bodyDiv w:val="1"/>
      <w:marLeft w:val="0"/>
      <w:marRight w:val="0"/>
      <w:marTop w:val="0"/>
      <w:marBottom w:val="0"/>
      <w:divBdr>
        <w:top w:val="none" w:sz="0" w:space="0" w:color="auto"/>
        <w:left w:val="none" w:sz="0" w:space="0" w:color="auto"/>
        <w:bottom w:val="none" w:sz="0" w:space="0" w:color="auto"/>
        <w:right w:val="none" w:sz="0" w:space="0" w:color="auto"/>
      </w:divBdr>
      <w:divsChild>
        <w:div w:id="970592264">
          <w:marLeft w:val="0"/>
          <w:marRight w:val="0"/>
          <w:marTop w:val="0"/>
          <w:marBottom w:val="0"/>
          <w:divBdr>
            <w:top w:val="none" w:sz="0" w:space="0" w:color="auto"/>
            <w:left w:val="none" w:sz="0" w:space="0" w:color="auto"/>
            <w:bottom w:val="none" w:sz="0" w:space="0" w:color="auto"/>
            <w:right w:val="none" w:sz="0" w:space="0" w:color="auto"/>
          </w:divBdr>
        </w:div>
        <w:div w:id="68038824">
          <w:marLeft w:val="0"/>
          <w:marRight w:val="0"/>
          <w:marTop w:val="0"/>
          <w:marBottom w:val="0"/>
          <w:divBdr>
            <w:top w:val="none" w:sz="0" w:space="0" w:color="auto"/>
            <w:left w:val="none" w:sz="0" w:space="0" w:color="auto"/>
            <w:bottom w:val="none" w:sz="0" w:space="0" w:color="auto"/>
            <w:right w:val="none" w:sz="0" w:space="0" w:color="auto"/>
          </w:divBdr>
        </w:div>
        <w:div w:id="573778663">
          <w:marLeft w:val="0"/>
          <w:marRight w:val="0"/>
          <w:marTop w:val="0"/>
          <w:marBottom w:val="0"/>
          <w:divBdr>
            <w:top w:val="none" w:sz="0" w:space="0" w:color="auto"/>
            <w:left w:val="none" w:sz="0" w:space="0" w:color="auto"/>
            <w:bottom w:val="none" w:sz="0" w:space="0" w:color="auto"/>
            <w:right w:val="none" w:sz="0" w:space="0" w:color="auto"/>
          </w:divBdr>
        </w:div>
        <w:div w:id="1891959248">
          <w:marLeft w:val="0"/>
          <w:marRight w:val="0"/>
          <w:marTop w:val="0"/>
          <w:marBottom w:val="0"/>
          <w:divBdr>
            <w:top w:val="none" w:sz="0" w:space="0" w:color="auto"/>
            <w:left w:val="none" w:sz="0" w:space="0" w:color="auto"/>
            <w:bottom w:val="none" w:sz="0" w:space="0" w:color="auto"/>
            <w:right w:val="none" w:sz="0" w:space="0" w:color="auto"/>
          </w:divBdr>
        </w:div>
        <w:div w:id="338971486">
          <w:marLeft w:val="0"/>
          <w:marRight w:val="0"/>
          <w:marTop w:val="0"/>
          <w:marBottom w:val="0"/>
          <w:divBdr>
            <w:top w:val="none" w:sz="0" w:space="0" w:color="auto"/>
            <w:left w:val="none" w:sz="0" w:space="0" w:color="auto"/>
            <w:bottom w:val="none" w:sz="0" w:space="0" w:color="auto"/>
            <w:right w:val="none" w:sz="0" w:space="0" w:color="auto"/>
          </w:divBdr>
        </w:div>
        <w:div w:id="2146506290">
          <w:marLeft w:val="0"/>
          <w:marRight w:val="0"/>
          <w:marTop w:val="0"/>
          <w:marBottom w:val="0"/>
          <w:divBdr>
            <w:top w:val="none" w:sz="0" w:space="0" w:color="auto"/>
            <w:left w:val="none" w:sz="0" w:space="0" w:color="auto"/>
            <w:bottom w:val="none" w:sz="0" w:space="0" w:color="auto"/>
            <w:right w:val="none" w:sz="0" w:space="0" w:color="auto"/>
          </w:divBdr>
        </w:div>
      </w:divsChild>
    </w:div>
    <w:div w:id="702094397">
      <w:bodyDiv w:val="1"/>
      <w:marLeft w:val="0"/>
      <w:marRight w:val="0"/>
      <w:marTop w:val="0"/>
      <w:marBottom w:val="0"/>
      <w:divBdr>
        <w:top w:val="none" w:sz="0" w:space="0" w:color="auto"/>
        <w:left w:val="none" w:sz="0" w:space="0" w:color="auto"/>
        <w:bottom w:val="none" w:sz="0" w:space="0" w:color="auto"/>
        <w:right w:val="none" w:sz="0" w:space="0" w:color="auto"/>
      </w:divBdr>
      <w:divsChild>
        <w:div w:id="144860834">
          <w:marLeft w:val="0"/>
          <w:marRight w:val="0"/>
          <w:marTop w:val="0"/>
          <w:marBottom w:val="0"/>
          <w:divBdr>
            <w:top w:val="none" w:sz="0" w:space="0" w:color="auto"/>
            <w:left w:val="none" w:sz="0" w:space="0" w:color="auto"/>
            <w:bottom w:val="none" w:sz="0" w:space="0" w:color="auto"/>
            <w:right w:val="none" w:sz="0" w:space="0" w:color="auto"/>
          </w:divBdr>
        </w:div>
        <w:div w:id="2093971326">
          <w:marLeft w:val="0"/>
          <w:marRight w:val="0"/>
          <w:marTop w:val="0"/>
          <w:marBottom w:val="0"/>
          <w:divBdr>
            <w:top w:val="none" w:sz="0" w:space="0" w:color="auto"/>
            <w:left w:val="none" w:sz="0" w:space="0" w:color="auto"/>
            <w:bottom w:val="none" w:sz="0" w:space="0" w:color="auto"/>
            <w:right w:val="none" w:sz="0" w:space="0" w:color="auto"/>
          </w:divBdr>
        </w:div>
        <w:div w:id="1122579492">
          <w:marLeft w:val="0"/>
          <w:marRight w:val="0"/>
          <w:marTop w:val="0"/>
          <w:marBottom w:val="0"/>
          <w:divBdr>
            <w:top w:val="none" w:sz="0" w:space="0" w:color="auto"/>
            <w:left w:val="none" w:sz="0" w:space="0" w:color="auto"/>
            <w:bottom w:val="none" w:sz="0" w:space="0" w:color="auto"/>
            <w:right w:val="none" w:sz="0" w:space="0" w:color="auto"/>
          </w:divBdr>
        </w:div>
        <w:div w:id="1923642639">
          <w:marLeft w:val="0"/>
          <w:marRight w:val="0"/>
          <w:marTop w:val="0"/>
          <w:marBottom w:val="0"/>
          <w:divBdr>
            <w:top w:val="none" w:sz="0" w:space="0" w:color="auto"/>
            <w:left w:val="none" w:sz="0" w:space="0" w:color="auto"/>
            <w:bottom w:val="none" w:sz="0" w:space="0" w:color="auto"/>
            <w:right w:val="none" w:sz="0" w:space="0" w:color="auto"/>
          </w:divBdr>
        </w:div>
        <w:div w:id="1694646244">
          <w:marLeft w:val="0"/>
          <w:marRight w:val="0"/>
          <w:marTop w:val="0"/>
          <w:marBottom w:val="0"/>
          <w:divBdr>
            <w:top w:val="none" w:sz="0" w:space="0" w:color="auto"/>
            <w:left w:val="none" w:sz="0" w:space="0" w:color="auto"/>
            <w:bottom w:val="none" w:sz="0" w:space="0" w:color="auto"/>
            <w:right w:val="none" w:sz="0" w:space="0" w:color="auto"/>
          </w:divBdr>
        </w:div>
        <w:div w:id="705642429">
          <w:marLeft w:val="0"/>
          <w:marRight w:val="0"/>
          <w:marTop w:val="0"/>
          <w:marBottom w:val="0"/>
          <w:divBdr>
            <w:top w:val="none" w:sz="0" w:space="0" w:color="auto"/>
            <w:left w:val="none" w:sz="0" w:space="0" w:color="auto"/>
            <w:bottom w:val="none" w:sz="0" w:space="0" w:color="auto"/>
            <w:right w:val="none" w:sz="0" w:space="0" w:color="auto"/>
          </w:divBdr>
        </w:div>
        <w:div w:id="1451784612">
          <w:marLeft w:val="0"/>
          <w:marRight w:val="0"/>
          <w:marTop w:val="0"/>
          <w:marBottom w:val="0"/>
          <w:divBdr>
            <w:top w:val="none" w:sz="0" w:space="0" w:color="auto"/>
            <w:left w:val="none" w:sz="0" w:space="0" w:color="auto"/>
            <w:bottom w:val="none" w:sz="0" w:space="0" w:color="auto"/>
            <w:right w:val="none" w:sz="0" w:space="0" w:color="auto"/>
          </w:divBdr>
        </w:div>
      </w:divsChild>
    </w:div>
    <w:div w:id="864749577">
      <w:bodyDiv w:val="1"/>
      <w:marLeft w:val="0"/>
      <w:marRight w:val="0"/>
      <w:marTop w:val="0"/>
      <w:marBottom w:val="0"/>
      <w:divBdr>
        <w:top w:val="none" w:sz="0" w:space="0" w:color="auto"/>
        <w:left w:val="none" w:sz="0" w:space="0" w:color="auto"/>
        <w:bottom w:val="none" w:sz="0" w:space="0" w:color="auto"/>
        <w:right w:val="none" w:sz="0" w:space="0" w:color="auto"/>
      </w:divBdr>
    </w:div>
    <w:div w:id="894119967">
      <w:bodyDiv w:val="1"/>
      <w:marLeft w:val="0"/>
      <w:marRight w:val="0"/>
      <w:marTop w:val="0"/>
      <w:marBottom w:val="0"/>
      <w:divBdr>
        <w:top w:val="none" w:sz="0" w:space="0" w:color="auto"/>
        <w:left w:val="none" w:sz="0" w:space="0" w:color="auto"/>
        <w:bottom w:val="none" w:sz="0" w:space="0" w:color="auto"/>
        <w:right w:val="none" w:sz="0" w:space="0" w:color="auto"/>
      </w:divBdr>
    </w:div>
    <w:div w:id="935749586">
      <w:bodyDiv w:val="1"/>
      <w:marLeft w:val="0"/>
      <w:marRight w:val="0"/>
      <w:marTop w:val="0"/>
      <w:marBottom w:val="0"/>
      <w:divBdr>
        <w:top w:val="none" w:sz="0" w:space="0" w:color="auto"/>
        <w:left w:val="none" w:sz="0" w:space="0" w:color="auto"/>
        <w:bottom w:val="none" w:sz="0" w:space="0" w:color="auto"/>
        <w:right w:val="none" w:sz="0" w:space="0" w:color="auto"/>
      </w:divBdr>
    </w:div>
    <w:div w:id="1437099822">
      <w:bodyDiv w:val="1"/>
      <w:marLeft w:val="0"/>
      <w:marRight w:val="0"/>
      <w:marTop w:val="0"/>
      <w:marBottom w:val="0"/>
      <w:divBdr>
        <w:top w:val="none" w:sz="0" w:space="0" w:color="auto"/>
        <w:left w:val="none" w:sz="0" w:space="0" w:color="auto"/>
        <w:bottom w:val="none" w:sz="0" w:space="0" w:color="auto"/>
        <w:right w:val="none" w:sz="0" w:space="0" w:color="auto"/>
      </w:divBdr>
    </w:div>
    <w:div w:id="1585916807">
      <w:bodyDiv w:val="1"/>
      <w:marLeft w:val="0"/>
      <w:marRight w:val="0"/>
      <w:marTop w:val="0"/>
      <w:marBottom w:val="0"/>
      <w:divBdr>
        <w:top w:val="none" w:sz="0" w:space="0" w:color="auto"/>
        <w:left w:val="none" w:sz="0" w:space="0" w:color="auto"/>
        <w:bottom w:val="none" w:sz="0" w:space="0" w:color="auto"/>
        <w:right w:val="none" w:sz="0" w:space="0" w:color="auto"/>
      </w:divBdr>
      <w:divsChild>
        <w:div w:id="699745598">
          <w:marLeft w:val="0"/>
          <w:marRight w:val="0"/>
          <w:marTop w:val="0"/>
          <w:marBottom w:val="0"/>
          <w:divBdr>
            <w:top w:val="none" w:sz="0" w:space="0" w:color="auto"/>
            <w:left w:val="none" w:sz="0" w:space="0" w:color="auto"/>
            <w:bottom w:val="none" w:sz="0" w:space="0" w:color="auto"/>
            <w:right w:val="none" w:sz="0" w:space="0" w:color="auto"/>
          </w:divBdr>
        </w:div>
        <w:div w:id="1725106973">
          <w:marLeft w:val="0"/>
          <w:marRight w:val="0"/>
          <w:marTop w:val="0"/>
          <w:marBottom w:val="0"/>
          <w:divBdr>
            <w:top w:val="none" w:sz="0" w:space="0" w:color="auto"/>
            <w:left w:val="none" w:sz="0" w:space="0" w:color="auto"/>
            <w:bottom w:val="none" w:sz="0" w:space="0" w:color="auto"/>
            <w:right w:val="none" w:sz="0" w:space="0" w:color="auto"/>
          </w:divBdr>
        </w:div>
        <w:div w:id="1467509125">
          <w:marLeft w:val="0"/>
          <w:marRight w:val="0"/>
          <w:marTop w:val="0"/>
          <w:marBottom w:val="0"/>
          <w:divBdr>
            <w:top w:val="none" w:sz="0" w:space="0" w:color="auto"/>
            <w:left w:val="none" w:sz="0" w:space="0" w:color="auto"/>
            <w:bottom w:val="none" w:sz="0" w:space="0" w:color="auto"/>
            <w:right w:val="none" w:sz="0" w:space="0" w:color="auto"/>
          </w:divBdr>
        </w:div>
        <w:div w:id="912079789">
          <w:marLeft w:val="0"/>
          <w:marRight w:val="0"/>
          <w:marTop w:val="0"/>
          <w:marBottom w:val="0"/>
          <w:divBdr>
            <w:top w:val="none" w:sz="0" w:space="0" w:color="auto"/>
            <w:left w:val="none" w:sz="0" w:space="0" w:color="auto"/>
            <w:bottom w:val="none" w:sz="0" w:space="0" w:color="auto"/>
            <w:right w:val="none" w:sz="0" w:space="0" w:color="auto"/>
          </w:divBdr>
        </w:div>
        <w:div w:id="1771315725">
          <w:marLeft w:val="0"/>
          <w:marRight w:val="0"/>
          <w:marTop w:val="0"/>
          <w:marBottom w:val="0"/>
          <w:divBdr>
            <w:top w:val="none" w:sz="0" w:space="0" w:color="auto"/>
            <w:left w:val="none" w:sz="0" w:space="0" w:color="auto"/>
            <w:bottom w:val="none" w:sz="0" w:space="0" w:color="auto"/>
            <w:right w:val="none" w:sz="0" w:space="0" w:color="auto"/>
          </w:divBdr>
        </w:div>
        <w:div w:id="1520124830">
          <w:marLeft w:val="0"/>
          <w:marRight w:val="0"/>
          <w:marTop w:val="0"/>
          <w:marBottom w:val="0"/>
          <w:divBdr>
            <w:top w:val="none" w:sz="0" w:space="0" w:color="auto"/>
            <w:left w:val="none" w:sz="0" w:space="0" w:color="auto"/>
            <w:bottom w:val="none" w:sz="0" w:space="0" w:color="auto"/>
            <w:right w:val="none" w:sz="0" w:space="0" w:color="auto"/>
          </w:divBdr>
        </w:div>
        <w:div w:id="355161063">
          <w:marLeft w:val="0"/>
          <w:marRight w:val="0"/>
          <w:marTop w:val="0"/>
          <w:marBottom w:val="0"/>
          <w:divBdr>
            <w:top w:val="none" w:sz="0" w:space="0" w:color="auto"/>
            <w:left w:val="none" w:sz="0" w:space="0" w:color="auto"/>
            <w:bottom w:val="none" w:sz="0" w:space="0" w:color="auto"/>
            <w:right w:val="none" w:sz="0" w:space="0" w:color="auto"/>
          </w:divBdr>
        </w:div>
      </w:divsChild>
    </w:div>
    <w:div w:id="1639603440">
      <w:bodyDiv w:val="1"/>
      <w:marLeft w:val="0"/>
      <w:marRight w:val="0"/>
      <w:marTop w:val="0"/>
      <w:marBottom w:val="0"/>
      <w:divBdr>
        <w:top w:val="none" w:sz="0" w:space="0" w:color="auto"/>
        <w:left w:val="none" w:sz="0" w:space="0" w:color="auto"/>
        <w:bottom w:val="none" w:sz="0" w:space="0" w:color="auto"/>
        <w:right w:val="none" w:sz="0" w:space="0" w:color="auto"/>
      </w:divBdr>
      <w:divsChild>
        <w:div w:id="367334925">
          <w:marLeft w:val="0"/>
          <w:marRight w:val="0"/>
          <w:marTop w:val="0"/>
          <w:marBottom w:val="0"/>
          <w:divBdr>
            <w:top w:val="none" w:sz="0" w:space="0" w:color="auto"/>
            <w:left w:val="none" w:sz="0" w:space="0" w:color="auto"/>
            <w:bottom w:val="none" w:sz="0" w:space="0" w:color="auto"/>
            <w:right w:val="none" w:sz="0" w:space="0" w:color="auto"/>
          </w:divBdr>
        </w:div>
        <w:div w:id="288826047">
          <w:marLeft w:val="0"/>
          <w:marRight w:val="0"/>
          <w:marTop w:val="0"/>
          <w:marBottom w:val="0"/>
          <w:divBdr>
            <w:top w:val="none" w:sz="0" w:space="0" w:color="auto"/>
            <w:left w:val="none" w:sz="0" w:space="0" w:color="auto"/>
            <w:bottom w:val="none" w:sz="0" w:space="0" w:color="auto"/>
            <w:right w:val="none" w:sz="0" w:space="0" w:color="auto"/>
          </w:divBdr>
        </w:div>
        <w:div w:id="429397879">
          <w:marLeft w:val="0"/>
          <w:marRight w:val="0"/>
          <w:marTop w:val="0"/>
          <w:marBottom w:val="0"/>
          <w:divBdr>
            <w:top w:val="none" w:sz="0" w:space="0" w:color="auto"/>
            <w:left w:val="none" w:sz="0" w:space="0" w:color="auto"/>
            <w:bottom w:val="none" w:sz="0" w:space="0" w:color="auto"/>
            <w:right w:val="none" w:sz="0" w:space="0" w:color="auto"/>
          </w:divBdr>
        </w:div>
        <w:div w:id="1086347207">
          <w:marLeft w:val="0"/>
          <w:marRight w:val="0"/>
          <w:marTop w:val="0"/>
          <w:marBottom w:val="0"/>
          <w:divBdr>
            <w:top w:val="none" w:sz="0" w:space="0" w:color="auto"/>
            <w:left w:val="none" w:sz="0" w:space="0" w:color="auto"/>
            <w:bottom w:val="none" w:sz="0" w:space="0" w:color="auto"/>
            <w:right w:val="none" w:sz="0" w:space="0" w:color="auto"/>
          </w:divBdr>
        </w:div>
        <w:div w:id="170726214">
          <w:marLeft w:val="0"/>
          <w:marRight w:val="0"/>
          <w:marTop w:val="0"/>
          <w:marBottom w:val="0"/>
          <w:divBdr>
            <w:top w:val="none" w:sz="0" w:space="0" w:color="auto"/>
            <w:left w:val="none" w:sz="0" w:space="0" w:color="auto"/>
            <w:bottom w:val="none" w:sz="0" w:space="0" w:color="auto"/>
            <w:right w:val="none" w:sz="0" w:space="0" w:color="auto"/>
          </w:divBdr>
        </w:div>
        <w:div w:id="1766723614">
          <w:marLeft w:val="0"/>
          <w:marRight w:val="0"/>
          <w:marTop w:val="0"/>
          <w:marBottom w:val="0"/>
          <w:divBdr>
            <w:top w:val="none" w:sz="0" w:space="0" w:color="auto"/>
            <w:left w:val="none" w:sz="0" w:space="0" w:color="auto"/>
            <w:bottom w:val="none" w:sz="0" w:space="0" w:color="auto"/>
            <w:right w:val="none" w:sz="0" w:space="0" w:color="auto"/>
          </w:divBdr>
        </w:div>
      </w:divsChild>
    </w:div>
    <w:div w:id="1705598376">
      <w:bodyDiv w:val="1"/>
      <w:marLeft w:val="0"/>
      <w:marRight w:val="0"/>
      <w:marTop w:val="0"/>
      <w:marBottom w:val="0"/>
      <w:divBdr>
        <w:top w:val="none" w:sz="0" w:space="0" w:color="auto"/>
        <w:left w:val="none" w:sz="0" w:space="0" w:color="auto"/>
        <w:bottom w:val="none" w:sz="0" w:space="0" w:color="auto"/>
        <w:right w:val="none" w:sz="0" w:space="0" w:color="auto"/>
      </w:divBdr>
    </w:div>
    <w:div w:id="1823427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1393</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2014-12-06T14:22:00Z</cp:lastPrinted>
  <dcterms:created xsi:type="dcterms:W3CDTF">2014-12-06T14:24:00Z</dcterms:created>
  <dcterms:modified xsi:type="dcterms:W3CDTF">2014-12-06T14:24:00Z</dcterms:modified>
</cp:coreProperties>
</file>